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ED6" w:rsidRDefault="00EE5EE9" w:rsidP="00865ED6"/>
    <w:p w:rsidR="00865ED6" w:rsidRPr="00865ED6" w:rsidRDefault="004B71A7" w:rsidP="00865ED6">
      <w:pPr>
        <w:rPr>
          <w:b/>
        </w:rPr>
      </w:pPr>
      <w:r w:rsidRPr="00865ED6">
        <w:rPr>
          <w:b/>
        </w:rPr>
        <w:t>Report of the Audit and Governance Committee - Matters for Information</w:t>
      </w:r>
    </w:p>
    <w:p w:rsidR="00865ED6" w:rsidRPr="00865ED6" w:rsidRDefault="00EE5EE9" w:rsidP="00865ED6"/>
    <w:p w:rsidR="00865ED6" w:rsidRPr="00865ED6" w:rsidRDefault="004B71A7" w:rsidP="00865ED6">
      <w:r w:rsidRPr="00865ED6">
        <w:t xml:space="preserve">The following matters were considered by the Audit and Governance Committee at its meeting on </w:t>
      </w:r>
      <w:r>
        <w:t>9 May 2016</w:t>
      </w:r>
      <w:r w:rsidRPr="00865ED6">
        <w:t>:</w:t>
      </w:r>
    </w:p>
    <w:p w:rsidR="00865ED6" w:rsidRPr="00865ED6" w:rsidRDefault="00EE5EE9" w:rsidP="00865ED6"/>
    <w:p w:rsidR="00865ED6" w:rsidRDefault="004B71A7" w:rsidP="00865ED6">
      <w:r w:rsidRPr="00865ED6">
        <w:t>Part I (Open to Press and Public)</w:t>
      </w:r>
    </w:p>
    <w:p w:rsidR="00116EF2" w:rsidRDefault="00EE5EE9" w:rsidP="00865ED6"/>
    <w:tbl>
      <w:tblPr>
        <w:tblW w:w="8765" w:type="dxa"/>
        <w:tblLayout w:type="fixed"/>
        <w:tblLook w:val="0000" w:firstRow="0" w:lastRow="0" w:firstColumn="0" w:lastColumn="0" w:noHBand="0" w:noVBand="0"/>
      </w:tblPr>
      <w:tblGrid>
        <w:gridCol w:w="675"/>
        <w:gridCol w:w="8090"/>
      </w:tblGrid>
      <w:tr w:rsidR="00835C7E" w:rsidTr="00590D49">
        <w:tc>
          <w:tcPr>
            <w:tcW w:w="675" w:type="dxa"/>
          </w:tcPr>
          <w:p w:rsidR="00116EF2" w:rsidRPr="00116EF2" w:rsidRDefault="004B71A7" w:rsidP="00116EF2">
            <w:pPr>
              <w:ind w:left="-108"/>
              <w:rPr>
                <w:b/>
              </w:rPr>
            </w:pPr>
            <w:r w:rsidRPr="00116EF2">
              <w:rPr>
                <w:b/>
              </w:rPr>
              <w:t>1.</w:t>
            </w:r>
          </w:p>
        </w:tc>
        <w:tc>
          <w:tcPr>
            <w:tcW w:w="8090" w:type="dxa"/>
          </w:tcPr>
          <w:p w:rsidR="00116EF2" w:rsidRPr="00817DC5" w:rsidRDefault="004B71A7" w:rsidP="00590D49">
            <w:pPr>
              <w:ind w:left="34"/>
              <w:rPr>
                <w:rFonts w:cs="Arial"/>
                <w:szCs w:val="22"/>
              </w:rPr>
            </w:pPr>
            <w:r>
              <w:rPr>
                <w:rFonts w:cs="Arial"/>
                <w:b/>
                <w:szCs w:val="28"/>
              </w:rPr>
              <w:t>Internal Audit annual report</w:t>
            </w:r>
          </w:p>
          <w:p w:rsidR="00116EF2" w:rsidRPr="00073491" w:rsidRDefault="00EE5EE9" w:rsidP="00590D49">
            <w:pPr>
              <w:ind w:left="34"/>
              <w:rPr>
                <w:b/>
              </w:rPr>
            </w:pPr>
          </w:p>
        </w:tc>
      </w:tr>
    </w:tbl>
    <w:p w:rsidR="00116EF2" w:rsidRDefault="004B71A7" w:rsidP="00116EF2">
      <w:r>
        <w:t xml:space="preserve">The Committee considered a report </w:t>
      </w:r>
      <w:r>
        <w:rPr>
          <w:rFonts w:cs="Arial"/>
        </w:rPr>
        <w:t>on the progress made on the audit work undertaken for the county council during 2015/16</w:t>
      </w:r>
      <w:r>
        <w:t xml:space="preserve"> </w:t>
      </w:r>
    </w:p>
    <w:p w:rsidR="00116EF2" w:rsidRDefault="00EE5EE9" w:rsidP="00116EF2"/>
    <w:p w:rsidR="00116EF2" w:rsidRDefault="004B71A7" w:rsidP="00116EF2">
      <w:r>
        <w:rPr>
          <w:b/>
        </w:rPr>
        <w:t xml:space="preserve">Decision Taken: </w:t>
      </w:r>
      <w:r>
        <w:rPr>
          <w:rFonts w:cs="Arial"/>
          <w:bCs w:val="0"/>
        </w:rPr>
        <w:t>That t</w:t>
      </w:r>
      <w:r>
        <w:t>he Internal Audit annual report to the authority for 2015/16 be noted.</w:t>
      </w:r>
    </w:p>
    <w:p w:rsidR="00116EF2" w:rsidRPr="00752FDC" w:rsidRDefault="00EE5EE9" w:rsidP="00116EF2"/>
    <w:p w:rsidR="00116EF2" w:rsidRDefault="004B71A7" w:rsidP="00116EF2">
      <w:pPr>
        <w:rPr>
          <w:vanish/>
        </w:rPr>
      </w:pPr>
      <w:r>
        <w:rPr>
          <w:vanish/>
        </w:rPr>
        <w:t>&lt;/AI5&gt;</w:t>
      </w:r>
    </w:p>
    <w:p w:rsidR="00116EF2" w:rsidRDefault="004B71A7" w:rsidP="00116EF2">
      <w:pPr>
        <w:rPr>
          <w:vanish/>
        </w:rPr>
      </w:pPr>
      <w:r>
        <w:rPr>
          <w:vanish/>
        </w:rPr>
        <w:t>&lt;AI6&gt;</w:t>
      </w:r>
    </w:p>
    <w:tbl>
      <w:tblPr>
        <w:tblW w:w="8765" w:type="dxa"/>
        <w:tblLayout w:type="fixed"/>
        <w:tblLook w:val="0000" w:firstRow="0" w:lastRow="0" w:firstColumn="0" w:lastColumn="0" w:noHBand="0" w:noVBand="0"/>
      </w:tblPr>
      <w:tblGrid>
        <w:gridCol w:w="675"/>
        <w:gridCol w:w="8090"/>
      </w:tblGrid>
      <w:tr w:rsidR="00835C7E" w:rsidTr="00590D49">
        <w:tc>
          <w:tcPr>
            <w:tcW w:w="675" w:type="dxa"/>
          </w:tcPr>
          <w:p w:rsidR="00116EF2" w:rsidRPr="003565CE" w:rsidRDefault="004B71A7" w:rsidP="00FE0EC9">
            <w:pPr>
              <w:ind w:left="-108"/>
              <w:rPr>
                <w:b/>
              </w:rPr>
            </w:pPr>
            <w:r w:rsidRPr="003565CE">
              <w:rPr>
                <w:b/>
              </w:rPr>
              <w:t>2.</w:t>
            </w:r>
          </w:p>
        </w:tc>
        <w:tc>
          <w:tcPr>
            <w:tcW w:w="8090" w:type="dxa"/>
          </w:tcPr>
          <w:p w:rsidR="00116EF2" w:rsidRPr="00817DC5" w:rsidRDefault="004B71A7" w:rsidP="00590D49">
            <w:pPr>
              <w:ind w:left="34"/>
              <w:rPr>
                <w:rFonts w:cs="Arial"/>
                <w:szCs w:val="22"/>
              </w:rPr>
            </w:pPr>
            <w:r>
              <w:rPr>
                <w:rFonts w:cs="Arial"/>
                <w:b/>
                <w:szCs w:val="28"/>
              </w:rPr>
              <w:t>Internal Audit Charter</w:t>
            </w:r>
          </w:p>
          <w:p w:rsidR="00116EF2" w:rsidRPr="00073491" w:rsidRDefault="00EE5EE9" w:rsidP="00590D49">
            <w:pPr>
              <w:ind w:left="34"/>
              <w:rPr>
                <w:b/>
              </w:rPr>
            </w:pPr>
          </w:p>
        </w:tc>
      </w:tr>
    </w:tbl>
    <w:p w:rsidR="00116EF2" w:rsidRDefault="004B71A7" w:rsidP="00116EF2">
      <w:pPr>
        <w:spacing w:before="120" w:after="120"/>
        <w:rPr>
          <w:rFonts w:cs="Arial"/>
          <w:color w:val="000000"/>
        </w:rPr>
      </w:pPr>
      <w:r>
        <w:t>The Committee considered a report on a revised Internal Audit Charter which</w:t>
      </w:r>
      <w:r>
        <w:rPr>
          <w:rFonts w:cs="Arial"/>
          <w:color w:val="000000"/>
        </w:rPr>
        <w:t xml:space="preserve"> establishes the framework within which Lancashire County Council’s Internal Audit Service operates.</w:t>
      </w:r>
    </w:p>
    <w:p w:rsidR="00116EF2" w:rsidRDefault="00EE5EE9" w:rsidP="00116EF2">
      <w:pPr>
        <w:rPr>
          <w:rFonts w:cs="Arial"/>
          <w:color w:val="000000"/>
        </w:rPr>
      </w:pPr>
    </w:p>
    <w:p w:rsidR="00116EF2" w:rsidRDefault="004B71A7" w:rsidP="00116EF2">
      <w:r>
        <w:rPr>
          <w:b/>
        </w:rPr>
        <w:t xml:space="preserve">Decision Taken: </w:t>
      </w:r>
      <w:r>
        <w:rPr>
          <w:rFonts w:cs="Arial"/>
        </w:rPr>
        <w:t>That the revised Internal Audit Service Charter be approved.</w:t>
      </w:r>
    </w:p>
    <w:p w:rsidR="00116EF2" w:rsidRPr="00752FDC" w:rsidRDefault="00EE5EE9" w:rsidP="00116EF2"/>
    <w:p w:rsidR="003565CE" w:rsidRDefault="004B71A7" w:rsidP="00116EF2">
      <w:pPr>
        <w:rPr>
          <w:b/>
        </w:rPr>
      </w:pPr>
      <w:r w:rsidRPr="003565CE">
        <w:rPr>
          <w:b/>
        </w:rPr>
        <w:t>3.</w:t>
      </w:r>
      <w:r w:rsidRPr="003565CE">
        <w:rPr>
          <w:b/>
        </w:rPr>
        <w:tab/>
        <w:t>Internal/Exter</w:t>
      </w:r>
      <w:r>
        <w:rPr>
          <w:b/>
        </w:rPr>
        <w:t>nal</w:t>
      </w:r>
      <w:r w:rsidRPr="003565CE">
        <w:rPr>
          <w:b/>
        </w:rPr>
        <w:t xml:space="preserve"> Audit Protocol</w:t>
      </w:r>
    </w:p>
    <w:p w:rsidR="003565CE" w:rsidRPr="003565CE" w:rsidRDefault="00EE5EE9" w:rsidP="00116EF2">
      <w:pPr>
        <w:rPr>
          <w:b/>
        </w:rPr>
      </w:pPr>
    </w:p>
    <w:p w:rsidR="00116EF2" w:rsidRDefault="004B71A7" w:rsidP="00116EF2">
      <w:pPr>
        <w:rPr>
          <w:b/>
        </w:rPr>
      </w:pPr>
      <w:r>
        <w:t>The Committee considered a report on a revised Internal/External Audit Protocol.</w:t>
      </w:r>
    </w:p>
    <w:p w:rsidR="003565CE" w:rsidRDefault="00EE5EE9" w:rsidP="00116EF2">
      <w:pPr>
        <w:rPr>
          <w:b/>
        </w:rPr>
      </w:pPr>
    </w:p>
    <w:p w:rsidR="00116EF2" w:rsidRDefault="004B71A7" w:rsidP="00116EF2">
      <w:r>
        <w:rPr>
          <w:b/>
        </w:rPr>
        <w:t xml:space="preserve">Decision Taken: </w:t>
      </w:r>
      <w:r>
        <w:t>That the internal/external protocol be noted.</w:t>
      </w:r>
    </w:p>
    <w:p w:rsidR="00116EF2" w:rsidRPr="00752FDC" w:rsidRDefault="00EE5EE9" w:rsidP="00116EF2"/>
    <w:p w:rsidR="00116EF2" w:rsidRDefault="004B71A7" w:rsidP="00116EF2">
      <w:pPr>
        <w:rPr>
          <w:vanish/>
        </w:rPr>
      </w:pPr>
      <w:r>
        <w:rPr>
          <w:vanish/>
        </w:rPr>
        <w:t>&lt;/AI7&gt;</w:t>
      </w:r>
    </w:p>
    <w:p w:rsidR="00116EF2" w:rsidRDefault="004B71A7" w:rsidP="00116EF2">
      <w:pPr>
        <w:rPr>
          <w:vanish/>
        </w:rPr>
      </w:pPr>
      <w:r>
        <w:rPr>
          <w:vanish/>
        </w:rPr>
        <w:t>&lt;AI8&gt;</w:t>
      </w:r>
    </w:p>
    <w:tbl>
      <w:tblPr>
        <w:tblW w:w="8765" w:type="dxa"/>
        <w:tblLayout w:type="fixed"/>
        <w:tblLook w:val="0000" w:firstRow="0" w:lastRow="0" w:firstColumn="0" w:lastColumn="0" w:noHBand="0" w:noVBand="0"/>
      </w:tblPr>
      <w:tblGrid>
        <w:gridCol w:w="675"/>
        <w:gridCol w:w="8090"/>
      </w:tblGrid>
      <w:tr w:rsidR="00835C7E" w:rsidTr="003565CE">
        <w:tc>
          <w:tcPr>
            <w:tcW w:w="675" w:type="dxa"/>
          </w:tcPr>
          <w:p w:rsidR="00116EF2" w:rsidRPr="003565CE" w:rsidRDefault="004B71A7" w:rsidP="003565CE">
            <w:pPr>
              <w:ind w:left="-108"/>
              <w:rPr>
                <w:b/>
              </w:rPr>
            </w:pPr>
            <w:r w:rsidRPr="003565CE">
              <w:rPr>
                <w:b/>
              </w:rPr>
              <w:t xml:space="preserve">4. </w:t>
            </w:r>
          </w:p>
        </w:tc>
        <w:tc>
          <w:tcPr>
            <w:tcW w:w="8090" w:type="dxa"/>
            <w:shd w:val="clear" w:color="auto" w:fill="auto"/>
          </w:tcPr>
          <w:p w:rsidR="00116EF2" w:rsidRPr="00817DC5" w:rsidRDefault="004B71A7" w:rsidP="00590D49">
            <w:pPr>
              <w:ind w:left="34"/>
              <w:rPr>
                <w:rFonts w:cs="Arial"/>
                <w:szCs w:val="22"/>
              </w:rPr>
            </w:pPr>
            <w:r>
              <w:rPr>
                <w:rFonts w:cs="Arial"/>
                <w:b/>
                <w:szCs w:val="28"/>
              </w:rPr>
              <w:t>Internal Audit Quality and Assurance Improvement Programme</w:t>
            </w:r>
          </w:p>
          <w:p w:rsidR="00116EF2" w:rsidRPr="00073491" w:rsidRDefault="00EE5EE9" w:rsidP="00590D49">
            <w:pPr>
              <w:ind w:left="34"/>
              <w:rPr>
                <w:b/>
              </w:rPr>
            </w:pPr>
          </w:p>
        </w:tc>
      </w:tr>
    </w:tbl>
    <w:p w:rsidR="00116EF2" w:rsidRDefault="004B71A7" w:rsidP="00116EF2">
      <w:pPr>
        <w:rPr>
          <w:rFonts w:cs="Arial"/>
        </w:rPr>
      </w:pPr>
      <w:r>
        <w:t>The Committee considered a report on a revised Internal Audit Quality and Assurance Improvement programme.</w:t>
      </w:r>
    </w:p>
    <w:p w:rsidR="003565CE" w:rsidRDefault="00EE5EE9" w:rsidP="00116EF2">
      <w:pPr>
        <w:rPr>
          <w:b/>
        </w:rPr>
      </w:pPr>
    </w:p>
    <w:p w:rsidR="00116EF2" w:rsidRDefault="004B71A7" w:rsidP="00116EF2">
      <w:pPr>
        <w:rPr>
          <w:rFonts w:cs="Arial"/>
        </w:rPr>
      </w:pPr>
      <w:r>
        <w:rPr>
          <w:b/>
        </w:rPr>
        <w:t xml:space="preserve">Decision Taken: </w:t>
      </w:r>
      <w:r>
        <w:rPr>
          <w:rFonts w:cs="Arial"/>
        </w:rPr>
        <w:t>That the Quality Assurance and Improvement Programme be noted.</w:t>
      </w:r>
    </w:p>
    <w:p w:rsidR="00116EF2" w:rsidRPr="00752FDC" w:rsidRDefault="00EE5EE9" w:rsidP="00116EF2"/>
    <w:p w:rsidR="00116EF2" w:rsidRDefault="004B71A7" w:rsidP="00116EF2">
      <w:pPr>
        <w:rPr>
          <w:vanish/>
        </w:rPr>
      </w:pPr>
      <w:r>
        <w:rPr>
          <w:vanish/>
        </w:rPr>
        <w:t>&lt;/AI8&gt;</w:t>
      </w:r>
    </w:p>
    <w:p w:rsidR="00116EF2" w:rsidRDefault="004B71A7" w:rsidP="00116EF2">
      <w:pPr>
        <w:rPr>
          <w:vanish/>
        </w:rPr>
      </w:pPr>
      <w:r>
        <w:rPr>
          <w:vanish/>
        </w:rPr>
        <w:t>&lt;AI9&gt;</w:t>
      </w:r>
    </w:p>
    <w:tbl>
      <w:tblPr>
        <w:tblW w:w="8765" w:type="dxa"/>
        <w:tblLayout w:type="fixed"/>
        <w:tblLook w:val="0000" w:firstRow="0" w:lastRow="0" w:firstColumn="0" w:lastColumn="0" w:noHBand="0" w:noVBand="0"/>
      </w:tblPr>
      <w:tblGrid>
        <w:gridCol w:w="675"/>
        <w:gridCol w:w="8090"/>
      </w:tblGrid>
      <w:tr w:rsidR="00835C7E" w:rsidTr="00590D49">
        <w:tc>
          <w:tcPr>
            <w:tcW w:w="675" w:type="dxa"/>
          </w:tcPr>
          <w:p w:rsidR="00116EF2" w:rsidRPr="003565CE" w:rsidRDefault="004B71A7" w:rsidP="00FE0EC9">
            <w:pPr>
              <w:ind w:left="-108"/>
              <w:rPr>
                <w:b/>
              </w:rPr>
            </w:pPr>
            <w:r w:rsidRPr="003565CE">
              <w:rPr>
                <w:b/>
              </w:rPr>
              <w:t>5.</w:t>
            </w:r>
          </w:p>
        </w:tc>
        <w:tc>
          <w:tcPr>
            <w:tcW w:w="8090" w:type="dxa"/>
          </w:tcPr>
          <w:p w:rsidR="00116EF2" w:rsidRPr="00817DC5" w:rsidRDefault="004B71A7" w:rsidP="00590D49">
            <w:pPr>
              <w:ind w:left="34"/>
              <w:rPr>
                <w:rFonts w:cs="Arial"/>
                <w:szCs w:val="22"/>
              </w:rPr>
            </w:pPr>
            <w:r>
              <w:rPr>
                <w:rFonts w:cs="Arial"/>
                <w:b/>
                <w:szCs w:val="28"/>
              </w:rPr>
              <w:t>External Audit - Lancashire County Council Audit Plan 2015/16</w:t>
            </w:r>
          </w:p>
          <w:p w:rsidR="00116EF2" w:rsidRPr="00073491" w:rsidRDefault="00EE5EE9" w:rsidP="00590D49">
            <w:pPr>
              <w:ind w:left="34"/>
              <w:rPr>
                <w:b/>
              </w:rPr>
            </w:pPr>
          </w:p>
        </w:tc>
      </w:tr>
    </w:tbl>
    <w:p w:rsidR="00116EF2" w:rsidRDefault="004B71A7" w:rsidP="00116EF2">
      <w:pPr>
        <w:rPr>
          <w:rFonts w:cs="Arial"/>
        </w:rPr>
      </w:pPr>
      <w:r>
        <w:lastRenderedPageBreak/>
        <w:t>The Committee considered the External Audit – Lancashire County Council Audit Plan 2015/16</w:t>
      </w:r>
      <w:r>
        <w:rPr>
          <w:rFonts w:cs="Arial"/>
        </w:rPr>
        <w:t>.</w:t>
      </w:r>
    </w:p>
    <w:p w:rsidR="00116EF2" w:rsidRDefault="00EE5EE9" w:rsidP="00116EF2">
      <w:pPr>
        <w:rPr>
          <w:rFonts w:cs="Arial"/>
        </w:rPr>
      </w:pPr>
    </w:p>
    <w:p w:rsidR="00116EF2" w:rsidRDefault="004B71A7" w:rsidP="00116EF2">
      <w:pPr>
        <w:rPr>
          <w:color w:val="000000"/>
        </w:rPr>
      </w:pPr>
      <w:r>
        <w:rPr>
          <w:b/>
        </w:rPr>
        <w:t xml:space="preserve">Decision Taken: </w:t>
      </w:r>
      <w:r>
        <w:rPr>
          <w:color w:val="000000"/>
        </w:rPr>
        <w:t xml:space="preserve"> That the fees and External Audit Plan for the audit of the County Council for 2015/16 be agreed.</w:t>
      </w:r>
    </w:p>
    <w:p w:rsidR="00116EF2" w:rsidRPr="00752FDC" w:rsidRDefault="00EE5EE9" w:rsidP="00116EF2"/>
    <w:p w:rsidR="00116EF2" w:rsidRDefault="004B71A7" w:rsidP="00116EF2">
      <w:pPr>
        <w:rPr>
          <w:vanish/>
        </w:rPr>
      </w:pPr>
      <w:r>
        <w:rPr>
          <w:vanish/>
        </w:rPr>
        <w:t>&lt;/AI9&gt;</w:t>
      </w:r>
    </w:p>
    <w:p w:rsidR="00116EF2" w:rsidRDefault="004B71A7" w:rsidP="00116EF2">
      <w:pPr>
        <w:rPr>
          <w:vanish/>
        </w:rPr>
      </w:pPr>
      <w:r>
        <w:rPr>
          <w:vanish/>
        </w:rPr>
        <w:t>&lt;AI10&gt;</w:t>
      </w:r>
    </w:p>
    <w:tbl>
      <w:tblPr>
        <w:tblW w:w="8765" w:type="dxa"/>
        <w:tblLayout w:type="fixed"/>
        <w:tblLook w:val="0000" w:firstRow="0" w:lastRow="0" w:firstColumn="0" w:lastColumn="0" w:noHBand="0" w:noVBand="0"/>
      </w:tblPr>
      <w:tblGrid>
        <w:gridCol w:w="675"/>
        <w:gridCol w:w="8090"/>
      </w:tblGrid>
      <w:tr w:rsidR="00835C7E" w:rsidTr="00590D49">
        <w:tc>
          <w:tcPr>
            <w:tcW w:w="675" w:type="dxa"/>
          </w:tcPr>
          <w:p w:rsidR="00116EF2" w:rsidRPr="003565CE" w:rsidRDefault="004B71A7" w:rsidP="00FE0EC9">
            <w:pPr>
              <w:ind w:left="-12" w:hanging="96"/>
              <w:rPr>
                <w:b/>
              </w:rPr>
            </w:pPr>
            <w:r w:rsidRPr="003565CE">
              <w:rPr>
                <w:b/>
              </w:rPr>
              <w:t xml:space="preserve">6. </w:t>
            </w:r>
          </w:p>
        </w:tc>
        <w:tc>
          <w:tcPr>
            <w:tcW w:w="8090" w:type="dxa"/>
          </w:tcPr>
          <w:p w:rsidR="00116EF2" w:rsidRPr="00817DC5" w:rsidRDefault="004B71A7" w:rsidP="00590D49">
            <w:pPr>
              <w:ind w:left="34"/>
              <w:rPr>
                <w:rFonts w:cs="Arial"/>
                <w:szCs w:val="22"/>
              </w:rPr>
            </w:pPr>
            <w:r>
              <w:rPr>
                <w:rFonts w:cs="Arial"/>
                <w:b/>
                <w:szCs w:val="28"/>
              </w:rPr>
              <w:t>External Audit</w:t>
            </w:r>
            <w:r>
              <w:rPr>
                <w:rFonts w:cs="Arial"/>
                <w:b/>
                <w:szCs w:val="28"/>
              </w:rPr>
              <w:br/>
              <w:t>Lancashire County Pension Fund Audit Plan 2015/16</w:t>
            </w:r>
          </w:p>
          <w:p w:rsidR="00116EF2" w:rsidRPr="00073491" w:rsidRDefault="00EE5EE9" w:rsidP="00590D49">
            <w:pPr>
              <w:ind w:left="34"/>
              <w:rPr>
                <w:b/>
              </w:rPr>
            </w:pPr>
          </w:p>
        </w:tc>
      </w:tr>
    </w:tbl>
    <w:p w:rsidR="00116EF2" w:rsidRDefault="004B71A7" w:rsidP="00116EF2">
      <w:pPr>
        <w:rPr>
          <w:rFonts w:cs="Arial"/>
        </w:rPr>
      </w:pPr>
      <w:r>
        <w:rPr>
          <w:rFonts w:cs="Arial"/>
        </w:rPr>
        <w:t>The Committee considered the External Audit Plan for the audit of the pension fund for 2015/16.</w:t>
      </w:r>
    </w:p>
    <w:p w:rsidR="00116EF2" w:rsidRDefault="00EE5EE9" w:rsidP="00116EF2">
      <w:pPr>
        <w:rPr>
          <w:rFonts w:cs="Arial"/>
        </w:rPr>
      </w:pPr>
    </w:p>
    <w:p w:rsidR="00116EF2" w:rsidRDefault="004B71A7" w:rsidP="00116EF2">
      <w:pPr>
        <w:rPr>
          <w:rFonts w:cs="Arial"/>
        </w:rPr>
      </w:pPr>
      <w:r>
        <w:rPr>
          <w:b/>
        </w:rPr>
        <w:t xml:space="preserve">Decision Taken:  </w:t>
      </w:r>
      <w:r>
        <w:t>That</w:t>
      </w:r>
      <w:r>
        <w:rPr>
          <w:b/>
        </w:rPr>
        <w:t xml:space="preserve"> </w:t>
      </w:r>
      <w:r>
        <w:rPr>
          <w:rFonts w:cs="Arial"/>
        </w:rPr>
        <w:t>the fees and External Audit Plan for the audit of the Lancashire County Pension Fund for 2015/16 be agreed.</w:t>
      </w:r>
    </w:p>
    <w:p w:rsidR="00116EF2" w:rsidRPr="00752FDC" w:rsidRDefault="00EE5EE9" w:rsidP="00116EF2"/>
    <w:p w:rsidR="00116EF2" w:rsidRDefault="004B71A7" w:rsidP="00116EF2">
      <w:pPr>
        <w:rPr>
          <w:vanish/>
        </w:rPr>
      </w:pPr>
      <w:r>
        <w:rPr>
          <w:vanish/>
        </w:rPr>
        <w:t>&lt;/AI10&gt;</w:t>
      </w:r>
    </w:p>
    <w:p w:rsidR="00116EF2" w:rsidRDefault="004B71A7" w:rsidP="00116EF2">
      <w:pPr>
        <w:rPr>
          <w:vanish/>
        </w:rPr>
      </w:pPr>
      <w:r>
        <w:rPr>
          <w:vanish/>
        </w:rPr>
        <w:t>&lt;AI11&gt;</w:t>
      </w:r>
    </w:p>
    <w:tbl>
      <w:tblPr>
        <w:tblW w:w="8765" w:type="dxa"/>
        <w:tblLayout w:type="fixed"/>
        <w:tblLook w:val="0000" w:firstRow="0" w:lastRow="0" w:firstColumn="0" w:lastColumn="0" w:noHBand="0" w:noVBand="0"/>
      </w:tblPr>
      <w:tblGrid>
        <w:gridCol w:w="675"/>
        <w:gridCol w:w="8090"/>
      </w:tblGrid>
      <w:tr w:rsidR="00835C7E" w:rsidTr="00590D49">
        <w:tc>
          <w:tcPr>
            <w:tcW w:w="675" w:type="dxa"/>
          </w:tcPr>
          <w:p w:rsidR="00116EF2" w:rsidRPr="00FE0EC9" w:rsidRDefault="004B71A7" w:rsidP="00FE0EC9">
            <w:pPr>
              <w:ind w:left="-108"/>
              <w:rPr>
                <w:b/>
              </w:rPr>
            </w:pPr>
            <w:r w:rsidRPr="00FE0EC9">
              <w:rPr>
                <w:b/>
              </w:rPr>
              <w:t>7.</w:t>
            </w:r>
          </w:p>
        </w:tc>
        <w:tc>
          <w:tcPr>
            <w:tcW w:w="8090" w:type="dxa"/>
          </w:tcPr>
          <w:p w:rsidR="00116EF2" w:rsidRPr="00817DC5" w:rsidRDefault="004B71A7" w:rsidP="00590D49">
            <w:pPr>
              <w:ind w:left="34"/>
              <w:rPr>
                <w:rFonts w:cs="Arial"/>
                <w:szCs w:val="22"/>
              </w:rPr>
            </w:pPr>
            <w:r>
              <w:rPr>
                <w:rFonts w:cs="Arial"/>
                <w:b/>
                <w:szCs w:val="28"/>
              </w:rPr>
              <w:t>External audit - audit update</w:t>
            </w:r>
          </w:p>
          <w:p w:rsidR="00116EF2" w:rsidRPr="00073491" w:rsidRDefault="00EE5EE9" w:rsidP="00590D49">
            <w:pPr>
              <w:ind w:left="34"/>
              <w:rPr>
                <w:b/>
              </w:rPr>
            </w:pPr>
          </w:p>
        </w:tc>
      </w:tr>
    </w:tbl>
    <w:p w:rsidR="00116EF2" w:rsidRDefault="004B71A7" w:rsidP="00116EF2">
      <w:r>
        <w:t xml:space="preserve">The Committee considered an update of the audit work undertaken by the Grant Thornton against the 2015/16 audit of accounts, </w:t>
      </w:r>
      <w:r>
        <w:rPr>
          <w:rFonts w:cs="Arial"/>
        </w:rPr>
        <w:t>Value for Money (VfM) conclusion and other work</w:t>
      </w:r>
      <w:r>
        <w:t xml:space="preserve">. </w:t>
      </w:r>
    </w:p>
    <w:p w:rsidR="00116EF2" w:rsidRDefault="00EE5EE9" w:rsidP="00116EF2"/>
    <w:p w:rsidR="00116EF2" w:rsidRDefault="004B71A7" w:rsidP="00116EF2">
      <w:r>
        <w:rPr>
          <w:b/>
        </w:rPr>
        <w:t xml:space="preserve">Decision Taken: </w:t>
      </w:r>
      <w:r>
        <w:t>That the update report be noted.</w:t>
      </w:r>
    </w:p>
    <w:p w:rsidR="00116EF2" w:rsidRPr="00752FDC" w:rsidRDefault="00EE5EE9" w:rsidP="00116EF2"/>
    <w:p w:rsidR="00116EF2" w:rsidRDefault="004B71A7" w:rsidP="00116EF2">
      <w:pPr>
        <w:rPr>
          <w:vanish/>
        </w:rPr>
      </w:pPr>
      <w:r>
        <w:rPr>
          <w:vanish/>
        </w:rPr>
        <w:t>&lt;/AI11&gt;</w:t>
      </w:r>
    </w:p>
    <w:p w:rsidR="00116EF2" w:rsidRDefault="004B71A7" w:rsidP="00116EF2">
      <w:pPr>
        <w:rPr>
          <w:vanish/>
        </w:rPr>
      </w:pPr>
      <w:r>
        <w:rPr>
          <w:vanish/>
        </w:rPr>
        <w:t>&lt;AI12&gt;</w:t>
      </w:r>
    </w:p>
    <w:p w:rsidR="00116EF2" w:rsidRDefault="004B71A7" w:rsidP="00116EF2">
      <w:pPr>
        <w:rPr>
          <w:vanish/>
        </w:rPr>
      </w:pPr>
      <w:r>
        <w:rPr>
          <w:vanish/>
        </w:rPr>
        <w:t>&lt;/AI13&gt;</w:t>
      </w:r>
    </w:p>
    <w:p w:rsidR="00116EF2" w:rsidRDefault="004B71A7" w:rsidP="00116EF2">
      <w:pPr>
        <w:rPr>
          <w:vanish/>
        </w:rPr>
      </w:pPr>
      <w:r>
        <w:rPr>
          <w:vanish/>
        </w:rPr>
        <w:t>&lt;AI14&gt;</w:t>
      </w:r>
    </w:p>
    <w:p w:rsidR="00116EF2" w:rsidRPr="00752FDC" w:rsidRDefault="00EE5EE9" w:rsidP="00116EF2"/>
    <w:p w:rsidR="00116EF2" w:rsidRDefault="004B71A7" w:rsidP="00116EF2">
      <w:pPr>
        <w:rPr>
          <w:vanish/>
        </w:rPr>
      </w:pPr>
      <w:r>
        <w:rPr>
          <w:vanish/>
        </w:rPr>
        <w:t>&lt;/AI14&gt;</w:t>
      </w:r>
    </w:p>
    <w:p w:rsidR="00116EF2" w:rsidRDefault="004B71A7" w:rsidP="00116EF2">
      <w:pPr>
        <w:rPr>
          <w:vanish/>
        </w:rPr>
      </w:pPr>
      <w:r>
        <w:rPr>
          <w:vanish/>
        </w:rPr>
        <w:t>&lt;AI15&gt;</w:t>
      </w:r>
    </w:p>
    <w:tbl>
      <w:tblPr>
        <w:tblW w:w="8765" w:type="dxa"/>
        <w:tblLayout w:type="fixed"/>
        <w:tblLook w:val="0000" w:firstRow="0" w:lastRow="0" w:firstColumn="0" w:lastColumn="0" w:noHBand="0" w:noVBand="0"/>
      </w:tblPr>
      <w:tblGrid>
        <w:gridCol w:w="675"/>
        <w:gridCol w:w="8090"/>
      </w:tblGrid>
      <w:tr w:rsidR="00835C7E" w:rsidTr="00590D49">
        <w:tc>
          <w:tcPr>
            <w:tcW w:w="675" w:type="dxa"/>
          </w:tcPr>
          <w:p w:rsidR="00116EF2" w:rsidRPr="00752FDC" w:rsidRDefault="004B71A7" w:rsidP="00116EF2">
            <w:pPr>
              <w:numPr>
                <w:ilvl w:val="0"/>
                <w:numId w:val="28"/>
              </w:numPr>
            </w:pPr>
            <w:r>
              <w:t xml:space="preserve"> </w:t>
            </w:r>
          </w:p>
        </w:tc>
        <w:tc>
          <w:tcPr>
            <w:tcW w:w="8090" w:type="dxa"/>
          </w:tcPr>
          <w:p w:rsidR="00116EF2" w:rsidRPr="00817DC5" w:rsidRDefault="004B71A7" w:rsidP="00590D49">
            <w:pPr>
              <w:ind w:left="34"/>
              <w:rPr>
                <w:rFonts w:cs="Arial"/>
                <w:szCs w:val="22"/>
              </w:rPr>
            </w:pPr>
            <w:r>
              <w:rPr>
                <w:rFonts w:cs="Arial"/>
                <w:b/>
                <w:szCs w:val="28"/>
              </w:rPr>
              <w:t>Annual report on counter-fraud, investigations and whistleblowing</w:t>
            </w:r>
          </w:p>
          <w:p w:rsidR="00116EF2" w:rsidRPr="00073491" w:rsidRDefault="00EE5EE9" w:rsidP="00590D49">
            <w:pPr>
              <w:ind w:left="34"/>
              <w:rPr>
                <w:b/>
              </w:rPr>
            </w:pPr>
          </w:p>
        </w:tc>
      </w:tr>
    </w:tbl>
    <w:p w:rsidR="00116EF2" w:rsidRDefault="004B71A7" w:rsidP="00116EF2">
      <w:r>
        <w:t>Not for Publication – Exempt information as defined in Paragraphs 1 and 7 of Part 1 of Schedule 12A to the Local Government Act, 1972.  It is considered that in all the circumstances of the case the public interest in maintaining the exemption outweighs the public interests in disclosing the information).</w:t>
      </w:r>
    </w:p>
    <w:p w:rsidR="00116EF2" w:rsidRDefault="00EE5EE9" w:rsidP="00116EF2">
      <w:pPr>
        <w:autoSpaceDE w:val="0"/>
        <w:autoSpaceDN w:val="0"/>
        <w:adjustRightInd w:val="0"/>
      </w:pPr>
    </w:p>
    <w:p w:rsidR="00116EF2" w:rsidRDefault="004B71A7" w:rsidP="00116EF2">
      <w:pPr>
        <w:autoSpaceDE w:val="0"/>
        <w:autoSpaceDN w:val="0"/>
        <w:adjustRightInd w:val="0"/>
        <w:rPr>
          <w:rFonts w:ascii="Helvetica" w:hAnsi="Helvetica"/>
        </w:rPr>
      </w:pPr>
      <w:r>
        <w:t xml:space="preserve">The committee considered a report on a summary of the work performed by the Internal Audit Service during 2015/16 to prevent, detect and investigate fraud and corruption within the County Council. </w:t>
      </w:r>
    </w:p>
    <w:p w:rsidR="00116EF2" w:rsidRDefault="00EE5EE9" w:rsidP="00116EF2">
      <w:pPr>
        <w:rPr>
          <w:b/>
        </w:rPr>
      </w:pPr>
    </w:p>
    <w:p w:rsidR="00116EF2" w:rsidRDefault="004B71A7" w:rsidP="00116EF2">
      <w:r>
        <w:rPr>
          <w:b/>
        </w:rPr>
        <w:t xml:space="preserve">Decision Taken: </w:t>
      </w:r>
      <w:r>
        <w:t>That the 2015/16 counter fraud, investigations and whistleblowing report as now presented, be noted.</w:t>
      </w:r>
    </w:p>
    <w:p w:rsidR="00116EF2" w:rsidRPr="00752FDC" w:rsidRDefault="00EE5EE9" w:rsidP="00116EF2"/>
    <w:p w:rsidR="00116EF2" w:rsidRDefault="004B71A7" w:rsidP="00116EF2">
      <w:pPr>
        <w:rPr>
          <w:vanish/>
        </w:rPr>
      </w:pPr>
      <w:r>
        <w:rPr>
          <w:vanish/>
        </w:rPr>
        <w:t>&lt;/AI15&gt;</w:t>
      </w:r>
    </w:p>
    <w:p w:rsidR="00116EF2" w:rsidRDefault="004B71A7" w:rsidP="00116EF2">
      <w:pPr>
        <w:rPr>
          <w:vanish/>
        </w:rPr>
      </w:pPr>
      <w:r>
        <w:rPr>
          <w:vanish/>
        </w:rPr>
        <w:t>&lt;TRAILER_SECTION&gt;</w:t>
      </w:r>
    </w:p>
    <w:p w:rsidR="00116EF2" w:rsidRDefault="00EE5EE9" w:rsidP="00116EF2"/>
    <w:p w:rsidR="00865ED6" w:rsidRPr="00865ED6" w:rsidRDefault="00EE5EE9" w:rsidP="00865ED6"/>
    <w:p w:rsidR="00865ED6" w:rsidRDefault="004B71A7" w:rsidP="00865ED6">
      <w:pPr>
        <w:rPr>
          <w:vanish/>
        </w:rPr>
      </w:pPr>
      <w:r>
        <w:rPr>
          <w:vanish/>
        </w:rPr>
        <w:t>&lt;/AI5&gt;</w:t>
      </w:r>
    </w:p>
    <w:p w:rsidR="00865ED6" w:rsidRDefault="004B71A7" w:rsidP="00865ED6">
      <w:pPr>
        <w:rPr>
          <w:vanish/>
        </w:rPr>
      </w:pPr>
      <w:r>
        <w:rPr>
          <w:vanish/>
        </w:rPr>
        <w:t>&lt;AI6&gt;</w:t>
      </w:r>
    </w:p>
    <w:sectPr w:rsidR="00865ED6">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EE9" w:rsidRDefault="00EE5EE9" w:rsidP="00EE5EE9">
      <w:r>
        <w:separator/>
      </w:r>
    </w:p>
  </w:endnote>
  <w:endnote w:type="continuationSeparator" w:id="0">
    <w:p w:rsidR="00EE5EE9" w:rsidRDefault="00EE5EE9" w:rsidP="00EE5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EE9" w:rsidRDefault="00EE5E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EE9" w:rsidRDefault="00EE5E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EE9" w:rsidRDefault="00EE5E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EE9" w:rsidRDefault="00EE5EE9" w:rsidP="00EE5EE9">
      <w:r>
        <w:separator/>
      </w:r>
    </w:p>
  </w:footnote>
  <w:footnote w:type="continuationSeparator" w:id="0">
    <w:p w:rsidR="00EE5EE9" w:rsidRDefault="00EE5EE9" w:rsidP="00EE5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EE9" w:rsidRDefault="00EE5E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EE9" w:rsidRDefault="00EE5EE9" w:rsidP="00EE5EE9">
    <w:pPr>
      <w:pStyle w:val="Header"/>
      <w:jc w:val="right"/>
    </w:pPr>
    <w:bookmarkStart w:id="0" w:name="_GoBack"/>
    <w:r>
      <w:t>Annex 1</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EE9" w:rsidRDefault="00EE5E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6C3CB0"/>
    <w:multiLevelType w:val="hybridMultilevel"/>
    <w:tmpl w:val="1CBA51CC"/>
    <w:lvl w:ilvl="0" w:tplc="629A244E">
      <w:start w:val="1"/>
      <w:numFmt w:val="decimal"/>
      <w:lvlText w:val="%1."/>
      <w:lvlJc w:val="left"/>
      <w:pPr>
        <w:ind w:left="720" w:hanging="360"/>
      </w:pPr>
      <w:rPr>
        <w:rFonts w:hint="default"/>
        <w:b/>
      </w:rPr>
    </w:lvl>
    <w:lvl w:ilvl="1" w:tplc="3A960470" w:tentative="1">
      <w:start w:val="1"/>
      <w:numFmt w:val="lowerLetter"/>
      <w:lvlText w:val="%2."/>
      <w:lvlJc w:val="left"/>
      <w:pPr>
        <w:ind w:left="1440" w:hanging="360"/>
      </w:pPr>
    </w:lvl>
    <w:lvl w:ilvl="2" w:tplc="A182AADC" w:tentative="1">
      <w:start w:val="1"/>
      <w:numFmt w:val="lowerRoman"/>
      <w:lvlText w:val="%3."/>
      <w:lvlJc w:val="right"/>
      <w:pPr>
        <w:ind w:left="2160" w:hanging="180"/>
      </w:pPr>
    </w:lvl>
    <w:lvl w:ilvl="3" w:tplc="285EFFF6" w:tentative="1">
      <w:start w:val="1"/>
      <w:numFmt w:val="decimal"/>
      <w:lvlText w:val="%4."/>
      <w:lvlJc w:val="left"/>
      <w:pPr>
        <w:ind w:left="2880" w:hanging="360"/>
      </w:pPr>
    </w:lvl>
    <w:lvl w:ilvl="4" w:tplc="29A4D170" w:tentative="1">
      <w:start w:val="1"/>
      <w:numFmt w:val="lowerLetter"/>
      <w:lvlText w:val="%5."/>
      <w:lvlJc w:val="left"/>
      <w:pPr>
        <w:ind w:left="3600" w:hanging="360"/>
      </w:pPr>
    </w:lvl>
    <w:lvl w:ilvl="5" w:tplc="6ED67470" w:tentative="1">
      <w:start w:val="1"/>
      <w:numFmt w:val="lowerRoman"/>
      <w:lvlText w:val="%6."/>
      <w:lvlJc w:val="right"/>
      <w:pPr>
        <w:ind w:left="4320" w:hanging="180"/>
      </w:pPr>
    </w:lvl>
    <w:lvl w:ilvl="6" w:tplc="7C1A7BD0" w:tentative="1">
      <w:start w:val="1"/>
      <w:numFmt w:val="decimal"/>
      <w:lvlText w:val="%7."/>
      <w:lvlJc w:val="left"/>
      <w:pPr>
        <w:ind w:left="5040" w:hanging="360"/>
      </w:pPr>
    </w:lvl>
    <w:lvl w:ilvl="7" w:tplc="3814BE84" w:tentative="1">
      <w:start w:val="1"/>
      <w:numFmt w:val="lowerLetter"/>
      <w:lvlText w:val="%8."/>
      <w:lvlJc w:val="left"/>
      <w:pPr>
        <w:ind w:left="5760" w:hanging="360"/>
      </w:pPr>
    </w:lvl>
    <w:lvl w:ilvl="8" w:tplc="4FAE4346" w:tentative="1">
      <w:start w:val="1"/>
      <w:numFmt w:val="lowerRoman"/>
      <w:lvlText w:val="%9."/>
      <w:lvlJc w:val="right"/>
      <w:pPr>
        <w:ind w:left="6480" w:hanging="180"/>
      </w:pPr>
    </w:lvl>
  </w:abstractNum>
  <w:abstractNum w:abstractNumId="1" w15:restartNumberingAfterBreak="0">
    <w:nsid w:val="7541070B"/>
    <w:multiLevelType w:val="multilevel"/>
    <w:tmpl w:val="30B637E6"/>
    <w:lvl w:ilvl="0">
      <w:start w:val="4"/>
      <w:numFmt w:val="decimal"/>
      <w:lvlText w:val="%1."/>
      <w:lvlJc w:val="left"/>
      <w:pPr>
        <w:ind w:left="0" w:firstLine="0"/>
      </w:pPr>
      <w:rPr>
        <w:rFonts w:ascii="Arial Bold" w:hAnsi="Arial Bold" w:hint="default"/>
        <w:b/>
        <w:i w:val="0"/>
        <w:sz w:val="24"/>
      </w:rPr>
    </w:lvl>
    <w:lvl w:ilvl="1">
      <w:start w:val="1"/>
      <w:numFmt w:val="lowerLetter"/>
      <w:lvlText w:val="%2."/>
      <w:lvlJc w:val="left"/>
      <w:pPr>
        <w:ind w:left="0" w:firstLine="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7541070C"/>
    <w:multiLevelType w:val="multilevel"/>
    <w:tmpl w:val="30B637E6"/>
    <w:lvl w:ilvl="0">
      <w:start w:val="5"/>
      <w:numFmt w:val="decimal"/>
      <w:lvlText w:val="%1."/>
      <w:lvlJc w:val="left"/>
      <w:pPr>
        <w:ind w:left="0" w:firstLine="0"/>
      </w:pPr>
      <w:rPr>
        <w:rFonts w:ascii="Arial Bold" w:hAnsi="Arial Bold" w:hint="default"/>
        <w:b/>
        <w:i w:val="0"/>
        <w:sz w:val="24"/>
      </w:rPr>
    </w:lvl>
    <w:lvl w:ilvl="1">
      <w:start w:val="1"/>
      <w:numFmt w:val="lowerLetter"/>
      <w:lvlText w:val="%2."/>
      <w:lvlJc w:val="left"/>
      <w:pPr>
        <w:ind w:left="0" w:firstLine="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7541070D"/>
    <w:multiLevelType w:val="hybridMultilevel"/>
    <w:tmpl w:val="A1361E6A"/>
    <w:lvl w:ilvl="0" w:tplc="E9225130">
      <w:start w:val="1"/>
      <w:numFmt w:val="bullet"/>
      <w:lvlText w:val=""/>
      <w:lvlJc w:val="left"/>
      <w:pPr>
        <w:ind w:left="720" w:hanging="360"/>
      </w:pPr>
      <w:rPr>
        <w:rFonts w:ascii="Symbol" w:hAnsi="Symbol" w:hint="default"/>
      </w:rPr>
    </w:lvl>
    <w:lvl w:ilvl="1" w:tplc="2354BB20">
      <w:start w:val="1"/>
      <w:numFmt w:val="bullet"/>
      <w:lvlText w:val="o"/>
      <w:lvlJc w:val="left"/>
      <w:pPr>
        <w:ind w:left="1440" w:hanging="360"/>
      </w:pPr>
      <w:rPr>
        <w:rFonts w:ascii="Courier New" w:hAnsi="Courier New" w:cs="Courier New" w:hint="default"/>
      </w:rPr>
    </w:lvl>
    <w:lvl w:ilvl="2" w:tplc="4CE420D2">
      <w:start w:val="1"/>
      <w:numFmt w:val="bullet"/>
      <w:lvlText w:val=""/>
      <w:lvlJc w:val="left"/>
      <w:pPr>
        <w:ind w:left="2160" w:hanging="360"/>
      </w:pPr>
      <w:rPr>
        <w:rFonts w:ascii="Wingdings" w:hAnsi="Wingdings" w:hint="default"/>
      </w:rPr>
    </w:lvl>
    <w:lvl w:ilvl="3" w:tplc="73E0FB90">
      <w:start w:val="1"/>
      <w:numFmt w:val="bullet"/>
      <w:lvlText w:val=""/>
      <w:lvlJc w:val="left"/>
      <w:pPr>
        <w:ind w:left="2880" w:hanging="360"/>
      </w:pPr>
      <w:rPr>
        <w:rFonts w:ascii="Symbol" w:hAnsi="Symbol" w:hint="default"/>
      </w:rPr>
    </w:lvl>
    <w:lvl w:ilvl="4" w:tplc="860E4A02">
      <w:start w:val="1"/>
      <w:numFmt w:val="bullet"/>
      <w:lvlText w:val="o"/>
      <w:lvlJc w:val="left"/>
      <w:pPr>
        <w:ind w:left="3600" w:hanging="360"/>
      </w:pPr>
      <w:rPr>
        <w:rFonts w:ascii="Courier New" w:hAnsi="Courier New" w:cs="Courier New" w:hint="default"/>
      </w:rPr>
    </w:lvl>
    <w:lvl w:ilvl="5" w:tplc="C60C3A68">
      <w:start w:val="1"/>
      <w:numFmt w:val="bullet"/>
      <w:lvlText w:val=""/>
      <w:lvlJc w:val="left"/>
      <w:pPr>
        <w:ind w:left="4320" w:hanging="360"/>
      </w:pPr>
      <w:rPr>
        <w:rFonts w:ascii="Wingdings" w:hAnsi="Wingdings" w:hint="default"/>
      </w:rPr>
    </w:lvl>
    <w:lvl w:ilvl="6" w:tplc="0736E342">
      <w:start w:val="1"/>
      <w:numFmt w:val="bullet"/>
      <w:lvlText w:val=""/>
      <w:lvlJc w:val="left"/>
      <w:pPr>
        <w:ind w:left="5040" w:hanging="360"/>
      </w:pPr>
      <w:rPr>
        <w:rFonts w:ascii="Symbol" w:hAnsi="Symbol" w:hint="default"/>
      </w:rPr>
    </w:lvl>
    <w:lvl w:ilvl="7" w:tplc="030AEDD6">
      <w:start w:val="1"/>
      <w:numFmt w:val="bullet"/>
      <w:lvlText w:val="o"/>
      <w:lvlJc w:val="left"/>
      <w:pPr>
        <w:ind w:left="5760" w:hanging="360"/>
      </w:pPr>
      <w:rPr>
        <w:rFonts w:ascii="Courier New" w:hAnsi="Courier New" w:cs="Courier New" w:hint="default"/>
      </w:rPr>
    </w:lvl>
    <w:lvl w:ilvl="8" w:tplc="B906A4AA">
      <w:start w:val="1"/>
      <w:numFmt w:val="bullet"/>
      <w:lvlText w:val=""/>
      <w:lvlJc w:val="left"/>
      <w:pPr>
        <w:ind w:left="6480" w:hanging="360"/>
      </w:pPr>
      <w:rPr>
        <w:rFonts w:ascii="Wingdings" w:hAnsi="Wingdings" w:hint="default"/>
      </w:rPr>
    </w:lvl>
  </w:abstractNum>
  <w:abstractNum w:abstractNumId="4" w15:restartNumberingAfterBreak="0">
    <w:nsid w:val="7541070E"/>
    <w:multiLevelType w:val="multilevel"/>
    <w:tmpl w:val="30B637E6"/>
    <w:lvl w:ilvl="0">
      <w:start w:val="7"/>
      <w:numFmt w:val="decimal"/>
      <w:lvlText w:val="%1."/>
      <w:lvlJc w:val="left"/>
      <w:pPr>
        <w:ind w:left="0" w:firstLine="0"/>
      </w:pPr>
      <w:rPr>
        <w:rFonts w:ascii="Arial Bold" w:hAnsi="Arial Bold" w:hint="default"/>
        <w:b/>
        <w:i w:val="0"/>
        <w:sz w:val="24"/>
      </w:rPr>
    </w:lvl>
    <w:lvl w:ilvl="1">
      <w:start w:val="1"/>
      <w:numFmt w:val="lowerLetter"/>
      <w:lvlText w:val="%2."/>
      <w:lvlJc w:val="left"/>
      <w:pPr>
        <w:ind w:left="0"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7541070F"/>
    <w:multiLevelType w:val="multilevel"/>
    <w:tmpl w:val="30B637E6"/>
    <w:lvl w:ilvl="0">
      <w:start w:val="6"/>
      <w:numFmt w:val="decimal"/>
      <w:lvlText w:val="%1."/>
      <w:lvlJc w:val="left"/>
      <w:pPr>
        <w:ind w:left="0" w:firstLine="0"/>
      </w:pPr>
      <w:rPr>
        <w:rFonts w:ascii="Arial Bold" w:hAnsi="Arial Bold" w:hint="default"/>
        <w:b/>
        <w:i w:val="0"/>
        <w:sz w:val="24"/>
      </w:rPr>
    </w:lvl>
    <w:lvl w:ilvl="1">
      <w:start w:val="1"/>
      <w:numFmt w:val="lowerLetter"/>
      <w:lvlText w:val="%2."/>
      <w:lvlJc w:val="left"/>
      <w:pPr>
        <w:ind w:left="0" w:firstLine="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75410710"/>
    <w:multiLevelType w:val="hybridMultilevel"/>
    <w:tmpl w:val="D174CC0C"/>
    <w:lvl w:ilvl="0" w:tplc="6832AEAE">
      <w:start w:val="1"/>
      <w:numFmt w:val="bullet"/>
      <w:lvlText w:val=""/>
      <w:lvlJc w:val="left"/>
      <w:pPr>
        <w:ind w:left="720" w:hanging="360"/>
      </w:pPr>
      <w:rPr>
        <w:rFonts w:ascii="Symbol" w:hAnsi="Symbol" w:hint="default"/>
      </w:rPr>
    </w:lvl>
    <w:lvl w:ilvl="1" w:tplc="B6A6A906">
      <w:start w:val="1"/>
      <w:numFmt w:val="bullet"/>
      <w:lvlText w:val="o"/>
      <w:lvlJc w:val="left"/>
      <w:pPr>
        <w:ind w:left="1440" w:hanging="360"/>
      </w:pPr>
      <w:rPr>
        <w:rFonts w:ascii="Courier New" w:hAnsi="Courier New" w:cs="Courier New" w:hint="default"/>
      </w:rPr>
    </w:lvl>
    <w:lvl w:ilvl="2" w:tplc="EBE2C26C">
      <w:start w:val="1"/>
      <w:numFmt w:val="bullet"/>
      <w:lvlText w:val=""/>
      <w:lvlJc w:val="left"/>
      <w:pPr>
        <w:ind w:left="2160" w:hanging="360"/>
      </w:pPr>
      <w:rPr>
        <w:rFonts w:ascii="Wingdings" w:hAnsi="Wingdings" w:hint="default"/>
      </w:rPr>
    </w:lvl>
    <w:lvl w:ilvl="3" w:tplc="2C06554E">
      <w:start w:val="1"/>
      <w:numFmt w:val="bullet"/>
      <w:lvlText w:val=""/>
      <w:lvlJc w:val="left"/>
      <w:pPr>
        <w:ind w:left="2880" w:hanging="360"/>
      </w:pPr>
      <w:rPr>
        <w:rFonts w:ascii="Symbol" w:hAnsi="Symbol" w:hint="default"/>
      </w:rPr>
    </w:lvl>
    <w:lvl w:ilvl="4" w:tplc="0A2E0888">
      <w:start w:val="1"/>
      <w:numFmt w:val="bullet"/>
      <w:lvlText w:val="o"/>
      <w:lvlJc w:val="left"/>
      <w:pPr>
        <w:ind w:left="3600" w:hanging="360"/>
      </w:pPr>
      <w:rPr>
        <w:rFonts w:ascii="Courier New" w:hAnsi="Courier New" w:cs="Courier New" w:hint="default"/>
      </w:rPr>
    </w:lvl>
    <w:lvl w:ilvl="5" w:tplc="A4721DAE">
      <w:start w:val="1"/>
      <w:numFmt w:val="bullet"/>
      <w:lvlText w:val=""/>
      <w:lvlJc w:val="left"/>
      <w:pPr>
        <w:ind w:left="4320" w:hanging="360"/>
      </w:pPr>
      <w:rPr>
        <w:rFonts w:ascii="Wingdings" w:hAnsi="Wingdings" w:hint="default"/>
      </w:rPr>
    </w:lvl>
    <w:lvl w:ilvl="6" w:tplc="E24E7DBC">
      <w:start w:val="1"/>
      <w:numFmt w:val="bullet"/>
      <w:lvlText w:val=""/>
      <w:lvlJc w:val="left"/>
      <w:pPr>
        <w:ind w:left="5040" w:hanging="360"/>
      </w:pPr>
      <w:rPr>
        <w:rFonts w:ascii="Symbol" w:hAnsi="Symbol" w:hint="default"/>
      </w:rPr>
    </w:lvl>
    <w:lvl w:ilvl="7" w:tplc="12E2BA58">
      <w:start w:val="1"/>
      <w:numFmt w:val="bullet"/>
      <w:lvlText w:val="o"/>
      <w:lvlJc w:val="left"/>
      <w:pPr>
        <w:ind w:left="5760" w:hanging="360"/>
      </w:pPr>
      <w:rPr>
        <w:rFonts w:ascii="Courier New" w:hAnsi="Courier New" w:cs="Courier New" w:hint="default"/>
      </w:rPr>
    </w:lvl>
    <w:lvl w:ilvl="8" w:tplc="4E301E9E">
      <w:start w:val="1"/>
      <w:numFmt w:val="bullet"/>
      <w:lvlText w:val=""/>
      <w:lvlJc w:val="left"/>
      <w:pPr>
        <w:ind w:left="6480" w:hanging="360"/>
      </w:pPr>
      <w:rPr>
        <w:rFonts w:ascii="Wingdings" w:hAnsi="Wingdings" w:hint="default"/>
      </w:rPr>
    </w:lvl>
  </w:abstractNum>
  <w:abstractNum w:abstractNumId="7" w15:restartNumberingAfterBreak="0">
    <w:nsid w:val="75410711"/>
    <w:multiLevelType w:val="hybridMultilevel"/>
    <w:tmpl w:val="BA58706E"/>
    <w:lvl w:ilvl="0" w:tplc="3F10C0C8">
      <w:start w:val="1"/>
      <w:numFmt w:val="bullet"/>
      <w:lvlText w:val=""/>
      <w:lvlJc w:val="left"/>
      <w:pPr>
        <w:ind w:left="780" w:hanging="360"/>
      </w:pPr>
      <w:rPr>
        <w:rFonts w:ascii="Symbol" w:hAnsi="Symbol" w:hint="default"/>
      </w:rPr>
    </w:lvl>
    <w:lvl w:ilvl="1" w:tplc="2A0A4758">
      <w:start w:val="1"/>
      <w:numFmt w:val="bullet"/>
      <w:lvlText w:val="o"/>
      <w:lvlJc w:val="left"/>
      <w:pPr>
        <w:ind w:left="1500" w:hanging="360"/>
      </w:pPr>
      <w:rPr>
        <w:rFonts w:ascii="Courier New" w:hAnsi="Courier New" w:cs="Courier New" w:hint="default"/>
      </w:rPr>
    </w:lvl>
    <w:lvl w:ilvl="2" w:tplc="68447050">
      <w:start w:val="1"/>
      <w:numFmt w:val="bullet"/>
      <w:lvlText w:val=""/>
      <w:lvlJc w:val="left"/>
      <w:pPr>
        <w:ind w:left="2220" w:hanging="360"/>
      </w:pPr>
      <w:rPr>
        <w:rFonts w:ascii="Wingdings" w:hAnsi="Wingdings" w:hint="default"/>
      </w:rPr>
    </w:lvl>
    <w:lvl w:ilvl="3" w:tplc="082A8AB6">
      <w:start w:val="1"/>
      <w:numFmt w:val="bullet"/>
      <w:lvlText w:val=""/>
      <w:lvlJc w:val="left"/>
      <w:pPr>
        <w:ind w:left="2940" w:hanging="360"/>
      </w:pPr>
      <w:rPr>
        <w:rFonts w:ascii="Symbol" w:hAnsi="Symbol" w:hint="default"/>
      </w:rPr>
    </w:lvl>
    <w:lvl w:ilvl="4" w:tplc="DB7CE6F6">
      <w:start w:val="1"/>
      <w:numFmt w:val="bullet"/>
      <w:lvlText w:val="o"/>
      <w:lvlJc w:val="left"/>
      <w:pPr>
        <w:ind w:left="3660" w:hanging="360"/>
      </w:pPr>
      <w:rPr>
        <w:rFonts w:ascii="Courier New" w:hAnsi="Courier New" w:cs="Courier New" w:hint="default"/>
      </w:rPr>
    </w:lvl>
    <w:lvl w:ilvl="5" w:tplc="FCBEC8B4">
      <w:start w:val="1"/>
      <w:numFmt w:val="bullet"/>
      <w:lvlText w:val=""/>
      <w:lvlJc w:val="left"/>
      <w:pPr>
        <w:ind w:left="4380" w:hanging="360"/>
      </w:pPr>
      <w:rPr>
        <w:rFonts w:ascii="Wingdings" w:hAnsi="Wingdings" w:hint="default"/>
      </w:rPr>
    </w:lvl>
    <w:lvl w:ilvl="6" w:tplc="2DCC2F5E">
      <w:start w:val="1"/>
      <w:numFmt w:val="bullet"/>
      <w:lvlText w:val=""/>
      <w:lvlJc w:val="left"/>
      <w:pPr>
        <w:ind w:left="5100" w:hanging="360"/>
      </w:pPr>
      <w:rPr>
        <w:rFonts w:ascii="Symbol" w:hAnsi="Symbol" w:hint="default"/>
      </w:rPr>
    </w:lvl>
    <w:lvl w:ilvl="7" w:tplc="96CC91C0">
      <w:start w:val="1"/>
      <w:numFmt w:val="bullet"/>
      <w:lvlText w:val="o"/>
      <w:lvlJc w:val="left"/>
      <w:pPr>
        <w:ind w:left="5820" w:hanging="360"/>
      </w:pPr>
      <w:rPr>
        <w:rFonts w:ascii="Courier New" w:hAnsi="Courier New" w:cs="Courier New" w:hint="default"/>
      </w:rPr>
    </w:lvl>
    <w:lvl w:ilvl="8" w:tplc="0F6867B4">
      <w:start w:val="1"/>
      <w:numFmt w:val="bullet"/>
      <w:lvlText w:val=""/>
      <w:lvlJc w:val="left"/>
      <w:pPr>
        <w:ind w:left="6540" w:hanging="360"/>
      </w:pPr>
      <w:rPr>
        <w:rFonts w:ascii="Wingdings" w:hAnsi="Wingdings" w:hint="default"/>
      </w:rPr>
    </w:lvl>
  </w:abstractNum>
  <w:abstractNum w:abstractNumId="8" w15:restartNumberingAfterBreak="0">
    <w:nsid w:val="75410712"/>
    <w:multiLevelType w:val="hybridMultilevel"/>
    <w:tmpl w:val="10588116"/>
    <w:lvl w:ilvl="0" w:tplc="504493C0">
      <w:start w:val="1"/>
      <w:numFmt w:val="bullet"/>
      <w:lvlText w:val=""/>
      <w:lvlJc w:val="left"/>
      <w:pPr>
        <w:tabs>
          <w:tab w:val="num" w:pos="340"/>
        </w:tabs>
        <w:ind w:left="340" w:hanging="340"/>
      </w:pPr>
      <w:rPr>
        <w:rFonts w:ascii="Symbol" w:hAnsi="Symbol" w:hint="default"/>
      </w:rPr>
    </w:lvl>
    <w:lvl w:ilvl="1" w:tplc="D3E0D88A">
      <w:start w:val="1"/>
      <w:numFmt w:val="decimal"/>
      <w:lvlText w:val="%2."/>
      <w:lvlJc w:val="left"/>
      <w:pPr>
        <w:tabs>
          <w:tab w:val="num" w:pos="1440"/>
        </w:tabs>
        <w:ind w:left="1440" w:hanging="360"/>
      </w:pPr>
    </w:lvl>
    <w:lvl w:ilvl="2" w:tplc="CF802058">
      <w:start w:val="1"/>
      <w:numFmt w:val="decimal"/>
      <w:lvlText w:val="%3."/>
      <w:lvlJc w:val="left"/>
      <w:pPr>
        <w:tabs>
          <w:tab w:val="num" w:pos="2160"/>
        </w:tabs>
        <w:ind w:left="2160" w:hanging="360"/>
      </w:pPr>
    </w:lvl>
    <w:lvl w:ilvl="3" w:tplc="1594381C">
      <w:start w:val="1"/>
      <w:numFmt w:val="decimal"/>
      <w:lvlText w:val="%4."/>
      <w:lvlJc w:val="left"/>
      <w:pPr>
        <w:tabs>
          <w:tab w:val="num" w:pos="2880"/>
        </w:tabs>
        <w:ind w:left="2880" w:hanging="360"/>
      </w:pPr>
    </w:lvl>
    <w:lvl w:ilvl="4" w:tplc="E56E40F0">
      <w:start w:val="1"/>
      <w:numFmt w:val="decimal"/>
      <w:lvlText w:val="%5."/>
      <w:lvlJc w:val="left"/>
      <w:pPr>
        <w:tabs>
          <w:tab w:val="num" w:pos="3600"/>
        </w:tabs>
        <w:ind w:left="3600" w:hanging="360"/>
      </w:pPr>
    </w:lvl>
    <w:lvl w:ilvl="5" w:tplc="96E434AA">
      <w:start w:val="1"/>
      <w:numFmt w:val="decimal"/>
      <w:lvlText w:val="%6."/>
      <w:lvlJc w:val="left"/>
      <w:pPr>
        <w:tabs>
          <w:tab w:val="num" w:pos="4320"/>
        </w:tabs>
        <w:ind w:left="4320" w:hanging="360"/>
      </w:pPr>
    </w:lvl>
    <w:lvl w:ilvl="6" w:tplc="A7BC6AD8">
      <w:start w:val="1"/>
      <w:numFmt w:val="decimal"/>
      <w:lvlText w:val="%7."/>
      <w:lvlJc w:val="left"/>
      <w:pPr>
        <w:tabs>
          <w:tab w:val="num" w:pos="5040"/>
        </w:tabs>
        <w:ind w:left="5040" w:hanging="360"/>
      </w:pPr>
    </w:lvl>
    <w:lvl w:ilvl="7" w:tplc="5624F9FE">
      <w:start w:val="1"/>
      <w:numFmt w:val="decimal"/>
      <w:lvlText w:val="%8."/>
      <w:lvlJc w:val="left"/>
      <w:pPr>
        <w:tabs>
          <w:tab w:val="num" w:pos="5760"/>
        </w:tabs>
        <w:ind w:left="5760" w:hanging="360"/>
      </w:pPr>
    </w:lvl>
    <w:lvl w:ilvl="8" w:tplc="2AAC6912">
      <w:start w:val="1"/>
      <w:numFmt w:val="decimal"/>
      <w:lvlText w:val="%9."/>
      <w:lvlJc w:val="left"/>
      <w:pPr>
        <w:tabs>
          <w:tab w:val="num" w:pos="6480"/>
        </w:tabs>
        <w:ind w:left="6480" w:hanging="360"/>
      </w:pPr>
    </w:lvl>
  </w:abstractNum>
  <w:abstractNum w:abstractNumId="9" w15:restartNumberingAfterBreak="0">
    <w:nsid w:val="75410713"/>
    <w:multiLevelType w:val="hybridMultilevel"/>
    <w:tmpl w:val="ECB23254"/>
    <w:lvl w:ilvl="0" w:tplc="9738C9CE">
      <w:start w:val="1"/>
      <w:numFmt w:val="bullet"/>
      <w:lvlText w:val=""/>
      <w:lvlJc w:val="left"/>
      <w:pPr>
        <w:ind w:left="1080" w:hanging="360"/>
      </w:pPr>
      <w:rPr>
        <w:rFonts w:ascii="Symbol" w:hAnsi="Symbol" w:hint="default"/>
      </w:rPr>
    </w:lvl>
    <w:lvl w:ilvl="1" w:tplc="7A742ED8">
      <w:start w:val="1"/>
      <w:numFmt w:val="bullet"/>
      <w:lvlText w:val="o"/>
      <w:lvlJc w:val="left"/>
      <w:pPr>
        <w:ind w:left="1800" w:hanging="360"/>
      </w:pPr>
      <w:rPr>
        <w:rFonts w:ascii="Courier New" w:hAnsi="Courier New" w:cs="Courier New" w:hint="default"/>
      </w:rPr>
    </w:lvl>
    <w:lvl w:ilvl="2" w:tplc="70CE27BC">
      <w:start w:val="1"/>
      <w:numFmt w:val="bullet"/>
      <w:lvlText w:val=""/>
      <w:lvlJc w:val="left"/>
      <w:pPr>
        <w:ind w:left="2520" w:hanging="360"/>
      </w:pPr>
      <w:rPr>
        <w:rFonts w:ascii="Wingdings" w:hAnsi="Wingdings" w:hint="default"/>
      </w:rPr>
    </w:lvl>
    <w:lvl w:ilvl="3" w:tplc="B3508C7C">
      <w:start w:val="1"/>
      <w:numFmt w:val="bullet"/>
      <w:lvlText w:val=""/>
      <w:lvlJc w:val="left"/>
      <w:pPr>
        <w:ind w:left="3240" w:hanging="360"/>
      </w:pPr>
      <w:rPr>
        <w:rFonts w:ascii="Symbol" w:hAnsi="Symbol" w:hint="default"/>
      </w:rPr>
    </w:lvl>
    <w:lvl w:ilvl="4" w:tplc="111235AA">
      <w:start w:val="1"/>
      <w:numFmt w:val="bullet"/>
      <w:lvlText w:val="o"/>
      <w:lvlJc w:val="left"/>
      <w:pPr>
        <w:ind w:left="3960" w:hanging="360"/>
      </w:pPr>
      <w:rPr>
        <w:rFonts w:ascii="Courier New" w:hAnsi="Courier New" w:cs="Courier New" w:hint="default"/>
      </w:rPr>
    </w:lvl>
    <w:lvl w:ilvl="5" w:tplc="15247140">
      <w:start w:val="1"/>
      <w:numFmt w:val="bullet"/>
      <w:lvlText w:val=""/>
      <w:lvlJc w:val="left"/>
      <w:pPr>
        <w:ind w:left="4680" w:hanging="360"/>
      </w:pPr>
      <w:rPr>
        <w:rFonts w:ascii="Wingdings" w:hAnsi="Wingdings" w:hint="default"/>
      </w:rPr>
    </w:lvl>
    <w:lvl w:ilvl="6" w:tplc="3BE8C7E6">
      <w:start w:val="1"/>
      <w:numFmt w:val="bullet"/>
      <w:lvlText w:val=""/>
      <w:lvlJc w:val="left"/>
      <w:pPr>
        <w:ind w:left="5400" w:hanging="360"/>
      </w:pPr>
      <w:rPr>
        <w:rFonts w:ascii="Symbol" w:hAnsi="Symbol" w:hint="default"/>
      </w:rPr>
    </w:lvl>
    <w:lvl w:ilvl="7" w:tplc="4DAAEAC4">
      <w:start w:val="1"/>
      <w:numFmt w:val="bullet"/>
      <w:lvlText w:val="o"/>
      <w:lvlJc w:val="left"/>
      <w:pPr>
        <w:ind w:left="6120" w:hanging="360"/>
      </w:pPr>
      <w:rPr>
        <w:rFonts w:ascii="Courier New" w:hAnsi="Courier New" w:cs="Courier New" w:hint="default"/>
      </w:rPr>
    </w:lvl>
    <w:lvl w:ilvl="8" w:tplc="068EDAC4">
      <w:start w:val="1"/>
      <w:numFmt w:val="bullet"/>
      <w:lvlText w:val=""/>
      <w:lvlJc w:val="left"/>
      <w:pPr>
        <w:ind w:left="6840" w:hanging="360"/>
      </w:pPr>
      <w:rPr>
        <w:rFonts w:ascii="Wingdings" w:hAnsi="Wingdings" w:hint="default"/>
      </w:rPr>
    </w:lvl>
  </w:abstractNum>
  <w:abstractNum w:abstractNumId="10" w15:restartNumberingAfterBreak="0">
    <w:nsid w:val="75410714"/>
    <w:multiLevelType w:val="multilevel"/>
    <w:tmpl w:val="30B637E6"/>
    <w:lvl w:ilvl="0">
      <w:start w:val="7"/>
      <w:numFmt w:val="decimal"/>
      <w:lvlText w:val="%1."/>
      <w:lvlJc w:val="left"/>
      <w:pPr>
        <w:ind w:left="0" w:firstLine="0"/>
      </w:pPr>
      <w:rPr>
        <w:rFonts w:ascii="Arial Bold" w:hAnsi="Arial Bold" w:hint="default"/>
        <w:b/>
        <w:i w:val="0"/>
        <w:sz w:val="24"/>
      </w:rPr>
    </w:lvl>
    <w:lvl w:ilvl="1">
      <w:start w:val="1"/>
      <w:numFmt w:val="lowerLetter"/>
      <w:lvlText w:val="%2."/>
      <w:lvlJc w:val="left"/>
      <w:pPr>
        <w:ind w:left="0" w:firstLine="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75410715"/>
    <w:multiLevelType w:val="multilevel"/>
    <w:tmpl w:val="30B637E6"/>
    <w:lvl w:ilvl="0">
      <w:start w:val="8"/>
      <w:numFmt w:val="decimal"/>
      <w:lvlText w:val="%1."/>
      <w:lvlJc w:val="left"/>
      <w:pPr>
        <w:ind w:left="0" w:firstLine="0"/>
      </w:pPr>
      <w:rPr>
        <w:rFonts w:ascii="Arial Bold" w:hAnsi="Arial Bold" w:hint="default"/>
        <w:b/>
        <w:i w:val="0"/>
        <w:sz w:val="24"/>
      </w:rPr>
    </w:lvl>
    <w:lvl w:ilvl="1">
      <w:start w:val="1"/>
      <w:numFmt w:val="lowerLetter"/>
      <w:lvlText w:val="%2."/>
      <w:lvlJc w:val="left"/>
      <w:pPr>
        <w:ind w:left="0" w:firstLine="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5410716"/>
    <w:multiLevelType w:val="multilevel"/>
    <w:tmpl w:val="30B637E6"/>
    <w:lvl w:ilvl="0">
      <w:start w:val="9"/>
      <w:numFmt w:val="decimal"/>
      <w:lvlText w:val="%1."/>
      <w:lvlJc w:val="left"/>
      <w:pPr>
        <w:ind w:left="284" w:firstLine="0"/>
      </w:pPr>
      <w:rPr>
        <w:rFonts w:ascii="Arial Bold" w:hAnsi="Arial Bold" w:hint="default"/>
        <w:b/>
        <w:i w:val="0"/>
        <w:sz w:val="24"/>
      </w:rPr>
    </w:lvl>
    <w:lvl w:ilvl="1">
      <w:start w:val="1"/>
      <w:numFmt w:val="lowerLetter"/>
      <w:lvlText w:val="%2."/>
      <w:lvlJc w:val="left"/>
      <w:pPr>
        <w:ind w:left="284" w:firstLine="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13" w15:restartNumberingAfterBreak="0">
    <w:nsid w:val="75410717"/>
    <w:multiLevelType w:val="multilevel"/>
    <w:tmpl w:val="30B637E6"/>
    <w:lvl w:ilvl="0">
      <w:start w:val="10"/>
      <w:numFmt w:val="decimal"/>
      <w:lvlText w:val="%1."/>
      <w:lvlJc w:val="left"/>
      <w:pPr>
        <w:ind w:left="0" w:firstLine="0"/>
      </w:pPr>
      <w:rPr>
        <w:rFonts w:ascii="Arial Bold" w:hAnsi="Arial Bold" w:hint="default"/>
        <w:b/>
        <w:i w:val="0"/>
        <w:sz w:val="24"/>
      </w:rPr>
    </w:lvl>
    <w:lvl w:ilvl="1">
      <w:start w:val="1"/>
      <w:numFmt w:val="lowerLetter"/>
      <w:lvlText w:val="%2."/>
      <w:lvlJc w:val="left"/>
      <w:pPr>
        <w:ind w:left="0" w:firstLine="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5410718"/>
    <w:multiLevelType w:val="hybridMultilevel"/>
    <w:tmpl w:val="145C8484"/>
    <w:lvl w:ilvl="0" w:tplc="0C6609B2">
      <w:start w:val="1"/>
      <w:numFmt w:val="lowerRoman"/>
      <w:lvlText w:val="(%1)"/>
      <w:lvlJc w:val="left"/>
      <w:pPr>
        <w:ind w:left="720" w:hanging="360"/>
      </w:pPr>
      <w:rPr>
        <w:rFonts w:ascii="Arial" w:eastAsia="Times New Roman" w:hAnsi="Arial" w:cs="Times New Roman"/>
      </w:rPr>
    </w:lvl>
    <w:lvl w:ilvl="1" w:tplc="302091FE">
      <w:start w:val="1"/>
      <w:numFmt w:val="lowerLetter"/>
      <w:lvlText w:val="%2."/>
      <w:lvlJc w:val="left"/>
      <w:pPr>
        <w:ind w:left="1440" w:hanging="360"/>
      </w:pPr>
    </w:lvl>
    <w:lvl w:ilvl="2" w:tplc="62609344">
      <w:start w:val="1"/>
      <w:numFmt w:val="lowerRoman"/>
      <w:lvlText w:val="%3."/>
      <w:lvlJc w:val="right"/>
      <w:pPr>
        <w:ind w:left="2160" w:hanging="180"/>
      </w:pPr>
    </w:lvl>
    <w:lvl w:ilvl="3" w:tplc="FE26BE5C">
      <w:start w:val="1"/>
      <w:numFmt w:val="decimal"/>
      <w:lvlText w:val="%4."/>
      <w:lvlJc w:val="left"/>
      <w:pPr>
        <w:ind w:left="2880" w:hanging="360"/>
      </w:pPr>
    </w:lvl>
    <w:lvl w:ilvl="4" w:tplc="414EB29C">
      <w:start w:val="1"/>
      <w:numFmt w:val="lowerLetter"/>
      <w:lvlText w:val="%5."/>
      <w:lvlJc w:val="left"/>
      <w:pPr>
        <w:ind w:left="3600" w:hanging="360"/>
      </w:pPr>
    </w:lvl>
    <w:lvl w:ilvl="5" w:tplc="7932EEFC">
      <w:start w:val="1"/>
      <w:numFmt w:val="lowerRoman"/>
      <w:lvlText w:val="%6."/>
      <w:lvlJc w:val="right"/>
      <w:pPr>
        <w:ind w:left="4320" w:hanging="180"/>
      </w:pPr>
    </w:lvl>
    <w:lvl w:ilvl="6" w:tplc="C8589146">
      <w:start w:val="1"/>
      <w:numFmt w:val="decimal"/>
      <w:lvlText w:val="%7."/>
      <w:lvlJc w:val="left"/>
      <w:pPr>
        <w:ind w:left="5040" w:hanging="360"/>
      </w:pPr>
    </w:lvl>
    <w:lvl w:ilvl="7" w:tplc="CEC03322">
      <w:start w:val="1"/>
      <w:numFmt w:val="lowerLetter"/>
      <w:lvlText w:val="%8."/>
      <w:lvlJc w:val="left"/>
      <w:pPr>
        <w:ind w:left="5760" w:hanging="360"/>
      </w:pPr>
    </w:lvl>
    <w:lvl w:ilvl="8" w:tplc="E55EE980">
      <w:start w:val="1"/>
      <w:numFmt w:val="lowerRoman"/>
      <w:lvlText w:val="%9."/>
      <w:lvlJc w:val="right"/>
      <w:pPr>
        <w:ind w:left="6480" w:hanging="180"/>
      </w:pPr>
    </w:lvl>
  </w:abstractNum>
  <w:abstractNum w:abstractNumId="15" w15:restartNumberingAfterBreak="0">
    <w:nsid w:val="75410719"/>
    <w:multiLevelType w:val="multilevel"/>
    <w:tmpl w:val="30B637E6"/>
    <w:lvl w:ilvl="0">
      <w:start w:val="11"/>
      <w:numFmt w:val="decimal"/>
      <w:lvlText w:val="%1."/>
      <w:lvlJc w:val="left"/>
      <w:pPr>
        <w:ind w:left="0" w:firstLine="0"/>
      </w:pPr>
      <w:rPr>
        <w:rFonts w:ascii="Arial Bold" w:hAnsi="Arial Bold" w:hint="default"/>
        <w:b/>
        <w:i w:val="0"/>
        <w:sz w:val="24"/>
      </w:rPr>
    </w:lvl>
    <w:lvl w:ilvl="1">
      <w:start w:val="1"/>
      <w:numFmt w:val="lowerLetter"/>
      <w:lvlText w:val="%2."/>
      <w:lvlJc w:val="left"/>
      <w:pPr>
        <w:ind w:left="0"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7541071A"/>
    <w:multiLevelType w:val="multilevel"/>
    <w:tmpl w:val="30B637E6"/>
    <w:lvl w:ilvl="0">
      <w:start w:val="11"/>
      <w:numFmt w:val="decimal"/>
      <w:lvlText w:val="%1."/>
      <w:lvlJc w:val="left"/>
      <w:pPr>
        <w:ind w:left="0" w:firstLine="0"/>
      </w:pPr>
      <w:rPr>
        <w:rFonts w:ascii="Arial Bold" w:hAnsi="Arial Bold" w:hint="default"/>
        <w:b/>
        <w:i w:val="0"/>
        <w:sz w:val="24"/>
      </w:rPr>
    </w:lvl>
    <w:lvl w:ilvl="1">
      <w:start w:val="1"/>
      <w:numFmt w:val="lowerLetter"/>
      <w:lvlText w:val="%2."/>
      <w:lvlJc w:val="left"/>
      <w:pPr>
        <w:ind w:left="0" w:firstLine="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541071B"/>
    <w:multiLevelType w:val="multilevel"/>
    <w:tmpl w:val="30B637E6"/>
    <w:lvl w:ilvl="0">
      <w:start w:val="13"/>
      <w:numFmt w:val="decimal"/>
      <w:lvlText w:val="%1."/>
      <w:lvlJc w:val="left"/>
      <w:pPr>
        <w:ind w:left="0" w:firstLine="0"/>
      </w:pPr>
      <w:rPr>
        <w:rFonts w:ascii="Arial Bold" w:hAnsi="Arial Bold" w:hint="default"/>
        <w:b/>
        <w:i w:val="0"/>
        <w:sz w:val="24"/>
      </w:rPr>
    </w:lvl>
    <w:lvl w:ilvl="1">
      <w:start w:val="1"/>
      <w:numFmt w:val="lowerLetter"/>
      <w:lvlText w:val="%2."/>
      <w:lvlJc w:val="left"/>
      <w:pPr>
        <w:ind w:left="0"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7541071C"/>
    <w:multiLevelType w:val="multilevel"/>
    <w:tmpl w:val="30B637E6"/>
    <w:lvl w:ilvl="0">
      <w:start w:val="14"/>
      <w:numFmt w:val="decimal"/>
      <w:lvlText w:val="%1."/>
      <w:lvlJc w:val="left"/>
      <w:pPr>
        <w:ind w:left="0" w:firstLine="0"/>
      </w:pPr>
      <w:rPr>
        <w:rFonts w:ascii="Arial Bold" w:hAnsi="Arial Bold" w:hint="default"/>
        <w:b/>
        <w:i w:val="0"/>
        <w:sz w:val="24"/>
      </w:rPr>
    </w:lvl>
    <w:lvl w:ilvl="1">
      <w:start w:val="1"/>
      <w:numFmt w:val="lowerLetter"/>
      <w:lvlText w:val="%2."/>
      <w:lvlJc w:val="left"/>
      <w:pPr>
        <w:ind w:left="0"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
  </w:num>
  <w:num w:numId="17">
    <w:abstractNumId w:val="2"/>
  </w:num>
  <w:num w:numId="18">
    <w:abstractNumId w:val="4"/>
  </w:num>
  <w:num w:numId="19">
    <w:abstractNumId w:val="5"/>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1"/>
  </w:num>
  <w:num w:numId="23">
    <w:abstractNumId w:val="12"/>
  </w:num>
  <w:num w:numId="24">
    <w:abstractNumId w:val="14"/>
  </w:num>
  <w:num w:numId="25">
    <w:abstractNumId w:val="15"/>
  </w:num>
  <w:num w:numId="26">
    <w:abstractNumId w:val="16"/>
  </w:num>
  <w:num w:numId="27">
    <w:abstractNumId w:val="17"/>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C7E"/>
    <w:rsid w:val="004B71A7"/>
    <w:rsid w:val="00835C7E"/>
    <w:rsid w:val="00EE5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0B2C3D-4523-448F-99AE-0A58C20FF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5ED6"/>
    <w:rPr>
      <w:rFonts w:ascii="Arial" w:hAnsi="Arial"/>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ED6"/>
    <w:pPr>
      <w:ind w:left="720"/>
      <w:contextualSpacing/>
    </w:pPr>
  </w:style>
  <w:style w:type="paragraph" w:customStyle="1" w:styleId="BulletOne">
    <w:name w:val="BulletOne"/>
    <w:basedOn w:val="Normal"/>
    <w:rsid w:val="00116EF2"/>
    <w:pPr>
      <w:tabs>
        <w:tab w:val="num" w:pos="340"/>
      </w:tabs>
      <w:ind w:left="340" w:hanging="340"/>
    </w:pPr>
    <w:rPr>
      <w:rFonts w:ascii="Garamond" w:hAnsi="Garamond"/>
      <w:sz w:val="22"/>
    </w:rPr>
  </w:style>
  <w:style w:type="paragraph" w:styleId="Header">
    <w:name w:val="header"/>
    <w:basedOn w:val="Normal"/>
    <w:link w:val="HeaderChar"/>
    <w:uiPriority w:val="99"/>
    <w:unhideWhenUsed/>
    <w:rsid w:val="00EE5EE9"/>
    <w:pPr>
      <w:tabs>
        <w:tab w:val="center" w:pos="4513"/>
        <w:tab w:val="right" w:pos="9026"/>
      </w:tabs>
    </w:pPr>
  </w:style>
  <w:style w:type="character" w:customStyle="1" w:styleId="HeaderChar">
    <w:name w:val="Header Char"/>
    <w:basedOn w:val="DefaultParagraphFont"/>
    <w:link w:val="Header"/>
    <w:uiPriority w:val="99"/>
    <w:rsid w:val="00EE5EE9"/>
    <w:rPr>
      <w:rFonts w:ascii="Arial" w:hAnsi="Arial"/>
      <w:bCs/>
      <w:sz w:val="24"/>
      <w:szCs w:val="24"/>
      <w:lang w:eastAsia="en-US"/>
    </w:rPr>
  </w:style>
  <w:style w:type="paragraph" w:styleId="Footer">
    <w:name w:val="footer"/>
    <w:basedOn w:val="Normal"/>
    <w:link w:val="FooterChar"/>
    <w:uiPriority w:val="99"/>
    <w:unhideWhenUsed/>
    <w:rsid w:val="00EE5EE9"/>
    <w:pPr>
      <w:tabs>
        <w:tab w:val="center" w:pos="4513"/>
        <w:tab w:val="right" w:pos="9026"/>
      </w:tabs>
    </w:pPr>
  </w:style>
  <w:style w:type="character" w:customStyle="1" w:styleId="FooterChar">
    <w:name w:val="Footer Char"/>
    <w:basedOn w:val="DefaultParagraphFont"/>
    <w:link w:val="Footer"/>
    <w:uiPriority w:val="99"/>
    <w:rsid w:val="00EE5EE9"/>
    <w:rPr>
      <w:rFonts w:ascii="Arial" w:hAnsi="Arial"/>
      <w:bCs/>
      <w:sz w:val="24"/>
      <w:szCs w:val="24"/>
      <w:lang w:eastAsia="en-US"/>
    </w:rPr>
  </w:style>
  <w:style w:type="paragraph" w:styleId="BalloonText">
    <w:name w:val="Balloon Text"/>
    <w:basedOn w:val="Normal"/>
    <w:link w:val="BalloonTextChar"/>
    <w:uiPriority w:val="99"/>
    <w:semiHidden/>
    <w:unhideWhenUsed/>
    <w:rsid w:val="00EE5E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EE9"/>
    <w:rPr>
      <w:rFonts w:ascii="Segoe UI" w:hAnsi="Segoe UI" w:cs="Segoe UI"/>
      <w:bCs/>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409</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Mather, Chris</dc:creator>
  <cp:lastModifiedBy>Mather, Chris</cp:lastModifiedBy>
  <cp:revision>5</cp:revision>
  <dcterms:created xsi:type="dcterms:W3CDTF">2016-05-13T14:28:00Z</dcterms:created>
  <dcterms:modified xsi:type="dcterms:W3CDTF">2016-05-17T10:48:00Z</dcterms:modified>
</cp:coreProperties>
</file>